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F60ED6" w:rsidRPr="00E31856" w:rsidTr="00B230B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F60ED6" w:rsidRPr="00E31856" w:rsidRDefault="00F60ED6" w:rsidP="00B230B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caps/>
              </w:rPr>
              <w:t>Međunarodne financije II</w:t>
            </w:r>
          </w:p>
        </w:tc>
      </w:tr>
      <w:tr w:rsidR="00F60ED6" w:rsidRPr="00E31856" w:rsidTr="00B230B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CD7D43" w:rsidRDefault="00F60ED6" w:rsidP="00B230B5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CD7D43">
              <w:rPr>
                <w:rStyle w:val="Strong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EUE306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60ED6" w:rsidRPr="00E31856" w:rsidTr="00B230B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Prof.dr.sc. Mario Pečarić</w:t>
            </w:r>
          </w:p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Doc. dr. sc. Josip Visković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60ED6" w:rsidRPr="00E31856" w:rsidTr="00B230B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Doc. dr. sc. Josip Visković</w:t>
            </w:r>
          </w:p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ED6" w:rsidRPr="00E31856" w:rsidRDefault="00F60ED6" w:rsidP="00B230B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ED6" w:rsidRPr="00E31856" w:rsidRDefault="00F60ED6" w:rsidP="00B230B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ED6" w:rsidRPr="00E31856" w:rsidRDefault="00F60ED6" w:rsidP="00B230B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F60ED6" w:rsidRPr="00E31856" w:rsidTr="00B230B5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0ED6" w:rsidRPr="00E31856" w:rsidTr="00B230B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E31856" w:rsidRDefault="0047644E" w:rsidP="004764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4E">
              <w:rPr>
                <w:rFonts w:ascii="Arial" w:hAnsi="Arial" w:cs="Arial"/>
                <w:color w:val="FF0000"/>
                <w:sz w:val="20"/>
                <w:szCs w:val="20"/>
              </w:rPr>
              <w:t>15%</w:t>
            </w:r>
          </w:p>
        </w:tc>
      </w:tr>
      <w:tr w:rsidR="00F60ED6" w:rsidRPr="00E31856" w:rsidTr="00B230B5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F60ED6" w:rsidRPr="00E31856" w:rsidTr="00B230B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E31856" w:rsidRDefault="00F60ED6" w:rsidP="00B230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Upoznati studente sa sustavom, institucijama, tržištima te metodama analize u međunarodnom financijama</w:t>
            </w:r>
          </w:p>
        </w:tc>
      </w:tr>
      <w:tr w:rsidR="00F60ED6" w:rsidRPr="00E31856" w:rsidTr="00B230B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E31856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F60ED6" w:rsidRPr="00E31856" w:rsidRDefault="00F60ED6" w:rsidP="00B230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60ED6" w:rsidRPr="00E31856" w:rsidTr="00B230B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E31856" w:rsidRDefault="00F60ED6" w:rsidP="00B230B5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1856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F60ED6" w:rsidRPr="00E31856" w:rsidRDefault="00F60ED6" w:rsidP="001A46E2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Kritički prosuđivati međunarodni financijski sustav. </w:t>
            </w:r>
          </w:p>
          <w:p w:rsidR="00F60ED6" w:rsidRPr="00E31856" w:rsidRDefault="00F60ED6" w:rsidP="00B230B5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F60ED6" w:rsidRPr="00E31856" w:rsidRDefault="00F60ED6" w:rsidP="00B230B5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1856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F60ED6" w:rsidRPr="00E31856" w:rsidRDefault="00F60ED6" w:rsidP="00F60ED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1856">
              <w:rPr>
                <w:rFonts w:ascii="Arial" w:eastAsia="Times New Roman" w:hAnsi="Arial" w:cs="Arial"/>
                <w:sz w:val="20"/>
                <w:szCs w:val="20"/>
              </w:rPr>
              <w:t xml:space="preserve">Ocijeniti i kritički prosuđivati </w:t>
            </w:r>
            <w:r w:rsidRPr="00953C17">
              <w:rPr>
                <w:rFonts w:ascii="Arial" w:eastAsia="Times New Roman" w:hAnsi="Arial" w:cs="Arial"/>
                <w:sz w:val="20"/>
                <w:szCs w:val="20"/>
              </w:rPr>
              <w:t xml:space="preserve">učinke </w:t>
            </w:r>
            <w:r w:rsidR="001A46E2" w:rsidRPr="00953C17">
              <w:rPr>
                <w:rFonts w:ascii="Arial" w:eastAsia="Times New Roman" w:hAnsi="Arial" w:cs="Arial"/>
                <w:sz w:val="20"/>
                <w:szCs w:val="20"/>
              </w:rPr>
              <w:t xml:space="preserve">i politike </w:t>
            </w:r>
            <w:r w:rsidRPr="00953C17">
              <w:rPr>
                <w:rFonts w:ascii="Arial" w:eastAsia="Times New Roman" w:hAnsi="Arial" w:cs="Arial"/>
                <w:sz w:val="20"/>
                <w:szCs w:val="20"/>
              </w:rPr>
              <w:t>međunarodnog</w:t>
            </w:r>
            <w:r w:rsidRPr="00E31856">
              <w:rPr>
                <w:rFonts w:ascii="Arial" w:eastAsia="Times New Roman" w:hAnsi="Arial" w:cs="Arial"/>
                <w:sz w:val="20"/>
                <w:szCs w:val="20"/>
              </w:rPr>
              <w:t xml:space="preserve"> kretanja kapitala (7. razina).</w:t>
            </w:r>
          </w:p>
          <w:p w:rsidR="00F60ED6" w:rsidRPr="00953C17" w:rsidRDefault="00F60ED6" w:rsidP="00F60ED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1856">
              <w:rPr>
                <w:rFonts w:ascii="Arial" w:eastAsia="Times New Roman" w:hAnsi="Arial" w:cs="Arial"/>
                <w:sz w:val="20"/>
                <w:szCs w:val="20"/>
              </w:rPr>
              <w:t xml:space="preserve">Utvrditi i valorizirati </w:t>
            </w:r>
            <w:r w:rsidR="001A46E2" w:rsidRPr="00953C17">
              <w:rPr>
                <w:rFonts w:ascii="Arial" w:eastAsia="Times New Roman" w:hAnsi="Arial" w:cs="Arial"/>
                <w:sz w:val="20"/>
                <w:szCs w:val="20"/>
              </w:rPr>
              <w:t xml:space="preserve">politike i modele realnog deviznog tečaja </w:t>
            </w:r>
            <w:r w:rsidRPr="00953C17">
              <w:rPr>
                <w:rFonts w:ascii="Arial" w:eastAsia="Times New Roman" w:hAnsi="Arial" w:cs="Arial"/>
                <w:sz w:val="20"/>
                <w:szCs w:val="20"/>
              </w:rPr>
              <w:t>u kontekstu liberalizacije kapitalnih tijekova (7. razina).</w:t>
            </w:r>
          </w:p>
          <w:p w:rsidR="00F60ED6" w:rsidRPr="00E31856" w:rsidRDefault="00F60ED6" w:rsidP="00F60ED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A46E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Ar</w:t>
            </w:r>
            <w:r w:rsidR="001A46E2" w:rsidRPr="001A46E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gumentirati i vrednovati politike uravnoteženja bilance </w:t>
            </w:r>
            <w:r w:rsidR="001A46E2" w:rsidRPr="00953C17">
              <w:rPr>
                <w:rFonts w:ascii="Arial" w:eastAsia="Times New Roman" w:hAnsi="Arial" w:cs="Arial"/>
                <w:sz w:val="20"/>
                <w:szCs w:val="20"/>
              </w:rPr>
              <w:t>plaćanja u kontekstu liberalizacije kapitalnih tijekova i visokog vanjskog duga</w:t>
            </w:r>
            <w:r w:rsidRPr="00E31856">
              <w:rPr>
                <w:rFonts w:ascii="Arial" w:eastAsia="Times New Roman" w:hAnsi="Arial" w:cs="Arial"/>
                <w:sz w:val="20"/>
                <w:szCs w:val="20"/>
              </w:rPr>
              <w:t xml:space="preserve"> (7. razina).</w:t>
            </w:r>
          </w:p>
          <w:p w:rsidR="00F60ED6" w:rsidRPr="00E31856" w:rsidRDefault="001A46E2" w:rsidP="001A46E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A46E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P</w:t>
            </w:r>
            <w:r w:rsidR="00F60ED6" w:rsidRPr="001A46E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reispitati </w:t>
            </w:r>
            <w:r w:rsidRPr="001A46E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međuodnos monetarnih,</w:t>
            </w:r>
            <w:r w:rsidRPr="001A46E2">
              <w:rPr>
                <w:color w:val="FF0000"/>
              </w:rPr>
              <w:t xml:space="preserve"> </w:t>
            </w:r>
            <w:r w:rsidRPr="001A46E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platno- bilančnih i makroekonomskih računa u cilju financijskog programiranja</w:t>
            </w:r>
            <w:r w:rsidR="00F60ED6" w:rsidRPr="00E31856">
              <w:rPr>
                <w:rFonts w:ascii="Arial" w:eastAsia="Times New Roman" w:hAnsi="Arial" w:cs="Arial"/>
                <w:sz w:val="20"/>
                <w:szCs w:val="20"/>
              </w:rPr>
              <w:t xml:space="preserve"> (7. razina).</w:t>
            </w:r>
          </w:p>
          <w:p w:rsidR="00F60ED6" w:rsidRPr="00E31856" w:rsidRDefault="00F60ED6" w:rsidP="00F60ED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1856">
              <w:rPr>
                <w:rFonts w:ascii="Arial" w:eastAsia="Times New Roman" w:hAnsi="Arial" w:cs="Arial"/>
                <w:sz w:val="20"/>
                <w:szCs w:val="20"/>
              </w:rPr>
              <w:t xml:space="preserve">Kritički prosuđivati reformu međunarodnog monetarnog sustava </w:t>
            </w:r>
            <w:r w:rsidR="001A46E2" w:rsidRPr="001A46E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u analitičkom okviru međunarodnih financijskih tržišta</w:t>
            </w:r>
            <w:r w:rsidR="001A46E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E31856">
              <w:rPr>
                <w:rFonts w:ascii="Arial" w:eastAsia="Times New Roman" w:hAnsi="Arial" w:cs="Arial"/>
                <w:sz w:val="20"/>
                <w:szCs w:val="20"/>
              </w:rPr>
              <w:t>(7. razina).</w:t>
            </w:r>
          </w:p>
          <w:p w:rsidR="00F60ED6" w:rsidRPr="00E31856" w:rsidRDefault="00F60ED6" w:rsidP="00B230B5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60ED6" w:rsidRPr="00E31856" w:rsidTr="00B230B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F60ED6" w:rsidRPr="00E31856" w:rsidTr="00B230B5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E3185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E3185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F60ED6" w:rsidRPr="00E31856" w:rsidTr="00B230B5">
              <w:tc>
                <w:tcPr>
                  <w:tcW w:w="2993" w:type="dxa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E3185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E3185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F60ED6" w:rsidRPr="00E31856" w:rsidTr="00B230B5">
              <w:tc>
                <w:tcPr>
                  <w:tcW w:w="2993" w:type="dxa"/>
                  <w:vAlign w:val="center"/>
                </w:tcPr>
                <w:p w:rsidR="00F60ED6" w:rsidRPr="00E31856" w:rsidRDefault="00F60ED6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Uvod - tradicionalni i novi pristup međunarodnim financijama</w:t>
                  </w:r>
                </w:p>
              </w:tc>
              <w:tc>
                <w:tcPr>
                  <w:tcW w:w="709" w:type="dxa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E31856" w:rsidRDefault="00B865DF" w:rsidP="00B865D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Uvod u suvremene modele i koncepte </w:t>
                  </w:r>
                  <w:r w:rsidR="00F60ED6" w:rsidRPr="00E31856">
                    <w:rPr>
                      <w:rFonts w:ascii="Arial" w:hAnsi="Arial" w:cs="Arial"/>
                      <w:sz w:val="18"/>
                      <w:szCs w:val="18"/>
                    </w:rPr>
                    <w:t>međunarodnih financija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E31856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60ED6" w:rsidRPr="00E31856" w:rsidTr="00B230B5">
              <w:tc>
                <w:tcPr>
                  <w:tcW w:w="2993" w:type="dxa"/>
                  <w:vAlign w:val="center"/>
                </w:tcPr>
                <w:p w:rsidR="00F60ED6" w:rsidRPr="00E31856" w:rsidRDefault="00F60ED6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 xml:space="preserve">Međuodnos monetarnih, </w:t>
                  </w:r>
                  <w:proofErr w:type="spellStart"/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platnobilančnih</w:t>
                  </w:r>
                  <w:proofErr w:type="spellEnd"/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 xml:space="preserve"> i makroekonomskih računa u cilju financijskog programiranja</w:t>
                  </w:r>
                </w:p>
              </w:tc>
              <w:tc>
                <w:tcPr>
                  <w:tcW w:w="709" w:type="dxa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E31856" w:rsidRDefault="00F60ED6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Primjeri financijskog programiranja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E31856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B865DF" w:rsidRPr="00E31856" w:rsidTr="00B230B5">
              <w:tc>
                <w:tcPr>
                  <w:tcW w:w="2993" w:type="dxa"/>
                  <w:vAlign w:val="center"/>
                </w:tcPr>
                <w:p w:rsidR="00B865DF" w:rsidRPr="00E31856" w:rsidRDefault="00B865DF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Suvremene teorije i metode prilagođavanja bilance plaćanja</w:t>
                  </w:r>
                </w:p>
              </w:tc>
              <w:tc>
                <w:tcPr>
                  <w:tcW w:w="709" w:type="dxa"/>
                </w:tcPr>
                <w:p w:rsidR="00B865DF" w:rsidRPr="00E31856" w:rsidRDefault="00B865DF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865DF" w:rsidRPr="00E31856" w:rsidRDefault="00B865DF" w:rsidP="00752DA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Analiza metoda prilagođavanja bilance plaćanja</w:t>
                  </w:r>
                </w:p>
              </w:tc>
              <w:tc>
                <w:tcPr>
                  <w:tcW w:w="709" w:type="dxa"/>
                  <w:vAlign w:val="center"/>
                </w:tcPr>
                <w:p w:rsidR="00B865DF" w:rsidRPr="00E31856" w:rsidRDefault="00B865DF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B865DF" w:rsidRPr="00E31856" w:rsidTr="00B230B5">
              <w:tc>
                <w:tcPr>
                  <w:tcW w:w="2993" w:type="dxa"/>
                  <w:vAlign w:val="center"/>
                </w:tcPr>
                <w:p w:rsidR="00B865DF" w:rsidRPr="00E31856" w:rsidRDefault="00B865DF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Modeli prilagođavanja bilance plaćanja</w:t>
                  </w:r>
                </w:p>
              </w:tc>
              <w:tc>
                <w:tcPr>
                  <w:tcW w:w="709" w:type="dxa"/>
                </w:tcPr>
                <w:p w:rsidR="00B865DF" w:rsidRPr="00E31856" w:rsidRDefault="00B865DF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865DF" w:rsidRPr="00E31856" w:rsidRDefault="00B865DF" w:rsidP="00B865D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Modeli platno-bilančnih kriza</w:t>
                  </w:r>
                </w:p>
              </w:tc>
              <w:tc>
                <w:tcPr>
                  <w:tcW w:w="709" w:type="dxa"/>
                  <w:vAlign w:val="center"/>
                </w:tcPr>
                <w:p w:rsidR="00B865DF" w:rsidRPr="00E31856" w:rsidRDefault="00B865DF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044BB" w:rsidRPr="00E31856" w:rsidTr="00B230B5">
              <w:tc>
                <w:tcPr>
                  <w:tcW w:w="2993" w:type="dxa"/>
                  <w:vAlign w:val="center"/>
                </w:tcPr>
                <w:p w:rsidR="00E044BB" w:rsidRPr="00E044BB" w:rsidRDefault="00752DAA" w:rsidP="00B230B5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M</w:t>
                  </w:r>
                  <w:r w:rsidR="00E044BB" w:rsidRPr="00E044B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eđunarodno kretanje kapitala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i održivost bilance plaćanja</w:t>
                  </w:r>
                </w:p>
              </w:tc>
              <w:tc>
                <w:tcPr>
                  <w:tcW w:w="709" w:type="dxa"/>
                </w:tcPr>
                <w:p w:rsidR="00E044BB" w:rsidRPr="00E044BB" w:rsidRDefault="00E044BB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GB"/>
                    </w:rPr>
                  </w:pPr>
                  <w:r w:rsidRPr="00E044BB"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E044BB" w:rsidRPr="00E044BB" w:rsidRDefault="00752DAA" w:rsidP="00E044BB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M</w:t>
                  </w:r>
                  <w:r w:rsidRPr="00E044B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eđunarodno kretanje kapitala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i održivost bilance plaćanja – studija slučaja</w:t>
                  </w:r>
                </w:p>
              </w:tc>
              <w:tc>
                <w:tcPr>
                  <w:tcW w:w="709" w:type="dxa"/>
                  <w:vAlign w:val="center"/>
                </w:tcPr>
                <w:p w:rsidR="00E044BB" w:rsidRPr="00E31856" w:rsidRDefault="00E044BB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60ED6" w:rsidRPr="00E31856" w:rsidTr="00B230B5">
              <w:tc>
                <w:tcPr>
                  <w:tcW w:w="2993" w:type="dxa"/>
                  <w:vAlign w:val="center"/>
                </w:tcPr>
                <w:p w:rsidR="00F60ED6" w:rsidRPr="00E31856" w:rsidRDefault="00752DAA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044B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Analiza međunarodne investicijske pozicije i bilanca plaćanja</w:t>
                  </w:r>
                </w:p>
              </w:tc>
              <w:tc>
                <w:tcPr>
                  <w:tcW w:w="709" w:type="dxa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E31856" w:rsidRDefault="00752DAA" w:rsidP="00752DA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044B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Analiza međunarodne investicijske pozicije i bilanca plaćanja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E31856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B865DF" w:rsidRPr="00E31856" w:rsidTr="00B230B5">
              <w:tc>
                <w:tcPr>
                  <w:tcW w:w="2993" w:type="dxa"/>
                  <w:vAlign w:val="center"/>
                </w:tcPr>
                <w:p w:rsidR="00B865DF" w:rsidRPr="00B865DF" w:rsidRDefault="00752DAA" w:rsidP="00752DAA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 xml:space="preserve">Realni devizni tečaj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i p</w:t>
                  </w: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 xml:space="preserve">rilagođavanja realnog deviznog </w:t>
                  </w: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tečaja</w:t>
                  </w:r>
                </w:p>
              </w:tc>
              <w:tc>
                <w:tcPr>
                  <w:tcW w:w="709" w:type="dxa"/>
                </w:tcPr>
                <w:p w:rsidR="00B865DF" w:rsidRPr="00E31856" w:rsidRDefault="00B865DF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865DF" w:rsidRPr="00B865DF" w:rsidRDefault="00752DAA" w:rsidP="00752DAA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ugoročna analiza realnih deviznih tečajeva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- </w:t>
                  </w:r>
                  <w:r w:rsidRPr="00953C17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studija slučaja</w:t>
                  </w:r>
                  <w:r w:rsidR="00CC504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C504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Dutch</w:t>
                  </w:r>
                  <w:proofErr w:type="spellEnd"/>
                  <w:r w:rsidR="00CC504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C504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lastRenderedPageBreak/>
                    <w:t>disease</w:t>
                  </w:r>
                  <w:proofErr w:type="spellEnd"/>
                </w:p>
              </w:tc>
              <w:tc>
                <w:tcPr>
                  <w:tcW w:w="709" w:type="dxa"/>
                  <w:vAlign w:val="center"/>
                </w:tcPr>
                <w:p w:rsidR="00B865DF" w:rsidRPr="00E31856" w:rsidRDefault="00B865DF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2</w:t>
                  </w:r>
                </w:p>
              </w:tc>
            </w:tr>
            <w:tr w:rsidR="00F60ED6" w:rsidRPr="00E31856" w:rsidTr="00B230B5">
              <w:tc>
                <w:tcPr>
                  <w:tcW w:w="2993" w:type="dxa"/>
                  <w:vAlign w:val="center"/>
                </w:tcPr>
                <w:p w:rsidR="00F60ED6" w:rsidRPr="00E31856" w:rsidRDefault="00CC504B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Ponavljanje</w:t>
                  </w:r>
                </w:p>
              </w:tc>
              <w:tc>
                <w:tcPr>
                  <w:tcW w:w="709" w:type="dxa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B865DF" w:rsidRDefault="00CC504B" w:rsidP="00CC504B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Kolokvij 2.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E31856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60ED6" w:rsidRPr="00E31856" w:rsidTr="00B230B5">
              <w:tc>
                <w:tcPr>
                  <w:tcW w:w="2993" w:type="dxa"/>
                  <w:vAlign w:val="center"/>
                </w:tcPr>
                <w:p w:rsidR="00F60ED6" w:rsidRPr="00E31856" w:rsidRDefault="00CC504B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Međunarodni tokovi kapitala i liberalizacija kapitalnog računa</w:t>
                  </w:r>
                </w:p>
              </w:tc>
              <w:tc>
                <w:tcPr>
                  <w:tcW w:w="709" w:type="dxa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E31856" w:rsidRDefault="00CC504B" w:rsidP="00BA6DC1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865D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Trilema</w:t>
                  </w:r>
                  <w:proofErr w:type="spellEnd"/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,</w:t>
                  </w:r>
                  <w:proofErr w:type="spellStart"/>
                  <w:r w:rsidRPr="00B865D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kvadrilema</w:t>
                  </w:r>
                  <w:proofErr w:type="spellEnd"/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i dilema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E31856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60ED6" w:rsidRPr="00E31856" w:rsidTr="00B230B5">
              <w:tc>
                <w:tcPr>
                  <w:tcW w:w="2993" w:type="dxa"/>
                  <w:vAlign w:val="center"/>
                </w:tcPr>
                <w:p w:rsidR="00F60ED6" w:rsidRPr="00E31856" w:rsidRDefault="00CC504B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Liberalizacija tokova kapitala, financijske krize i zaraze</w:t>
                  </w:r>
                </w:p>
              </w:tc>
              <w:tc>
                <w:tcPr>
                  <w:tcW w:w="709" w:type="dxa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E31856" w:rsidRDefault="00CC504B" w:rsidP="00CC504B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Modeli prve, druge i treće generacije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valutnih kriza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E31856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60ED6" w:rsidRPr="00E31856" w:rsidTr="00B230B5">
              <w:tc>
                <w:tcPr>
                  <w:tcW w:w="2993" w:type="dxa"/>
                  <w:vAlign w:val="center"/>
                </w:tcPr>
                <w:p w:rsidR="00F60ED6" w:rsidRPr="00E31856" w:rsidRDefault="00CC504B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Međunarodna likvidnosti i međunarodna financijska tržišta – analitički okvir</w:t>
                  </w:r>
                </w:p>
              </w:tc>
              <w:tc>
                <w:tcPr>
                  <w:tcW w:w="709" w:type="dxa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E31856" w:rsidRDefault="00CC504B" w:rsidP="00953C1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Mjerenje i značaj financijske integracije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E044B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- </w:t>
                  </w:r>
                  <w:proofErr w:type="spellStart"/>
                  <w:r w:rsidRPr="00E044B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Feldstein</w:t>
                  </w:r>
                  <w:proofErr w:type="spellEnd"/>
                  <w:r w:rsidRPr="00E044B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-</w:t>
                  </w:r>
                  <w:proofErr w:type="spellStart"/>
                  <w:r w:rsidRPr="00E044B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Horioka</w:t>
                  </w:r>
                  <w:proofErr w:type="spellEnd"/>
                  <w:r w:rsidRPr="00E044B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044B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puzzle</w:t>
                  </w:r>
                  <w:proofErr w:type="spellEnd"/>
                </w:p>
              </w:tc>
              <w:tc>
                <w:tcPr>
                  <w:tcW w:w="709" w:type="dxa"/>
                  <w:vAlign w:val="center"/>
                </w:tcPr>
                <w:p w:rsidR="00F60ED6" w:rsidRPr="00E31856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60ED6" w:rsidRPr="00E31856" w:rsidTr="00B230B5">
              <w:tc>
                <w:tcPr>
                  <w:tcW w:w="2993" w:type="dxa"/>
                  <w:vAlign w:val="center"/>
                </w:tcPr>
                <w:p w:rsidR="00F60ED6" w:rsidRPr="00E31856" w:rsidRDefault="00CC504B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Međunarodno zaduživanje, upravljanje dugom</w:t>
                  </w:r>
                </w:p>
              </w:tc>
              <w:tc>
                <w:tcPr>
                  <w:tcW w:w="709" w:type="dxa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E31856" w:rsidRDefault="00CC504B" w:rsidP="008033A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Modelska analiza upravljanja vanjskim dugom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953C17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(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studija slučaja </w:t>
                  </w:r>
                  <w:r w:rsidRPr="00953C17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Original sin)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E31856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60ED6" w:rsidRPr="00E31856" w:rsidTr="00B230B5">
              <w:tc>
                <w:tcPr>
                  <w:tcW w:w="2993" w:type="dxa"/>
                  <w:vAlign w:val="center"/>
                </w:tcPr>
                <w:p w:rsidR="00F60ED6" w:rsidRPr="00E31856" w:rsidRDefault="00CC504B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Teorijski pristupi regulacije kapitalnih tijekova</w:t>
                  </w:r>
                </w:p>
              </w:tc>
              <w:tc>
                <w:tcPr>
                  <w:tcW w:w="709" w:type="dxa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E31856" w:rsidRDefault="00CC504B" w:rsidP="00CC504B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Analiza kapitalnih kontrola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E31856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60ED6" w:rsidRPr="00E31856" w:rsidTr="00B230B5">
              <w:tc>
                <w:tcPr>
                  <w:tcW w:w="2993" w:type="dxa"/>
                  <w:vAlign w:val="center"/>
                </w:tcPr>
                <w:p w:rsidR="00F60ED6" w:rsidRPr="00E31856" w:rsidRDefault="00CC504B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Reforma međunarodnog monetarnog sustava</w:t>
                  </w:r>
                </w:p>
              </w:tc>
              <w:tc>
                <w:tcPr>
                  <w:tcW w:w="709" w:type="dxa"/>
                </w:tcPr>
                <w:p w:rsidR="00F60ED6" w:rsidRPr="00E31856" w:rsidRDefault="00CC504B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E31856" w:rsidRDefault="00CC504B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2757A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Analiza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rizika zemlje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E31856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60ED6" w:rsidRPr="00E31856" w:rsidTr="00B230B5">
              <w:tc>
                <w:tcPr>
                  <w:tcW w:w="2993" w:type="dxa"/>
                  <w:vAlign w:val="center"/>
                </w:tcPr>
                <w:p w:rsidR="00F60ED6" w:rsidRPr="00E31856" w:rsidRDefault="00F60ED6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F60ED6" w:rsidRPr="00E31856" w:rsidRDefault="00F60ED6" w:rsidP="00B230B5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60ED6" w:rsidRPr="00E31856" w:rsidRDefault="00CC504B" w:rsidP="00B230B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Kolokvij 2.</w:t>
                  </w:r>
                </w:p>
              </w:tc>
              <w:tc>
                <w:tcPr>
                  <w:tcW w:w="709" w:type="dxa"/>
                  <w:vAlign w:val="center"/>
                </w:tcPr>
                <w:p w:rsidR="00F60ED6" w:rsidRPr="00E31856" w:rsidRDefault="00F60ED6" w:rsidP="00B230B5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F60ED6" w:rsidRPr="00E31856" w:rsidRDefault="00F60ED6" w:rsidP="00B230B5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0ED6" w:rsidRPr="00E31856" w:rsidTr="00B230B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F60ED6" w:rsidRPr="00E31856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 samostalni  zadaci  </w:t>
            </w:r>
          </w:p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F60ED6" w:rsidRPr="00E31856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2AAC"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72AAC" w:rsidRPr="00E31856">
              <w:rPr>
                <w:rFonts w:ascii="Arial" w:hAnsi="Arial" w:cs="Arial"/>
                <w:sz w:val="20"/>
                <w:szCs w:val="20"/>
              </w:rPr>
            </w:r>
            <w:r w:rsidR="00772AAC"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="00772AAC"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3185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60ED6" w:rsidRPr="00E31856" w:rsidTr="00B230B5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60ED6" w:rsidRPr="00E31856" w:rsidTr="00B230B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E31856" w:rsidRDefault="00CC504B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C504B">
              <w:rPr>
                <w:rFonts w:ascii="Arial" w:hAnsi="Arial" w:cs="Arial"/>
                <w:sz w:val="20"/>
                <w:szCs w:val="20"/>
              </w:rPr>
              <w:t xml:space="preserve">Da bi ostvario pravo na potpis redovni student mora pohađati 70% ukupne nastave. </w:t>
            </w:r>
            <w:r w:rsidRPr="00CC504B">
              <w:rPr>
                <w:rFonts w:ascii="Arial" w:hAnsi="Arial" w:cs="Arial"/>
                <w:color w:val="FF0000"/>
                <w:sz w:val="20"/>
                <w:szCs w:val="20"/>
              </w:rPr>
              <w:t>Uz prisustvovanje, aktivno sudjelovanje u nastavi pretpostavlja i sudjelovanje u studijama slučajeva i interaktivnim raspravama.</w:t>
            </w:r>
          </w:p>
        </w:tc>
      </w:tr>
      <w:tr w:rsidR="00F60ED6" w:rsidRPr="00E31856" w:rsidTr="00B230B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3185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E31856" w:rsidRDefault="00772AAC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E31856" w:rsidRDefault="00772AAC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439B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439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439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439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439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439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E31856" w:rsidRDefault="00772AAC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60ED6" w:rsidRPr="00E31856" w:rsidTr="00B230B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F60ED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60ED6" w:rsidRPr="00E31856" w:rsidRDefault="00772AAC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439B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439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439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439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439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439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60ED6" w:rsidRPr="00E31856" w:rsidRDefault="00772AAC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F60ED6" w:rsidRPr="003C439B" w:rsidRDefault="003C439B" w:rsidP="003C439B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3C439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3C439B" w:rsidRDefault="003C439B" w:rsidP="00B230B5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3C439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0,5</w:t>
            </w:r>
            <w:r w:rsidR="008033A2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**</w:t>
            </w:r>
          </w:p>
        </w:tc>
      </w:tr>
      <w:tr w:rsidR="00F60ED6" w:rsidRPr="00E31856" w:rsidTr="00B230B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F60ED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60ED6" w:rsidRPr="00E31856" w:rsidRDefault="00772AAC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439B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439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439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439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439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439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F60ED6" w:rsidRPr="00E31856" w:rsidRDefault="00772AAC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F60ED6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E31856" w:rsidRDefault="00772AAC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60ED6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60ED6" w:rsidRPr="00E31856" w:rsidTr="00B230B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F60ED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60ED6" w:rsidRPr="003C439B" w:rsidRDefault="00F60ED6" w:rsidP="00B230B5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3C439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60ED6" w:rsidRPr="003C439B" w:rsidRDefault="003C439B" w:rsidP="00B230B5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3C439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3</w:t>
            </w:r>
            <w:r w:rsidR="00F60ED6" w:rsidRPr="003C439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60ED6" w:rsidRPr="00E31856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E31856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F60ED6" w:rsidRPr="00E3185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F60ED6" w:rsidRPr="00E31856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60ED6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E31856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60ED6" w:rsidRPr="00E31856" w:rsidTr="00B230B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F60ED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3C439B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C439B">
              <w:rPr>
                <w:rFonts w:ascii="Arial" w:hAnsi="Arial" w:cs="Arial"/>
                <w:color w:val="FF0000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3C439B" w:rsidRDefault="003C439B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C439B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E31856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E31856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60ED6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ED6" w:rsidRPr="00E31856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60ED6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60ED6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60ED6" w:rsidRPr="00E31856" w:rsidTr="00B230B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0ED6" w:rsidRPr="00E31856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</w:p>
          <w:p w:rsidR="00F60ED6" w:rsidRDefault="00F60ED6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  <w:p w:rsidR="003C439B" w:rsidRDefault="003C439B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C4D32">
              <w:rPr>
                <w:rFonts w:ascii="Arial" w:hAnsi="Arial" w:cs="Arial"/>
                <w:color w:val="FF0000"/>
                <w:sz w:val="20"/>
                <w:szCs w:val="20"/>
              </w:rPr>
              <w:t>** Na pojedinim vježbama studenti rješavaju studije slučaja vezane uz predavanja, prema gore navedenom rasporedu.</w:t>
            </w:r>
          </w:p>
          <w:p w:rsidR="00CC504B" w:rsidRPr="00261187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61187">
              <w:rPr>
                <w:rFonts w:ascii="Arial" w:hAnsi="Arial" w:cs="Arial"/>
                <w:color w:val="FF0000"/>
                <w:sz w:val="20"/>
                <w:szCs w:val="20"/>
              </w:rPr>
              <w:t xml:space="preserve">Provjera znanja putem dvaju kolokvija tijekom semestra odnosno putem pismenog ispita. Kolokviji nose </w:t>
            </w:r>
            <w:r w:rsidR="00261187" w:rsidRPr="00261187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Pr="00261187">
              <w:rPr>
                <w:rFonts w:ascii="Arial" w:hAnsi="Arial" w:cs="Arial"/>
                <w:color w:val="FF0000"/>
                <w:sz w:val="20"/>
                <w:szCs w:val="20"/>
              </w:rPr>
              <w:t xml:space="preserve">0% od ukupne ocjene, </w:t>
            </w:r>
            <w:r w:rsidR="00261187" w:rsidRPr="00261187">
              <w:rPr>
                <w:rFonts w:ascii="Arial" w:hAnsi="Arial" w:cs="Arial"/>
                <w:color w:val="FF0000"/>
                <w:sz w:val="20"/>
                <w:szCs w:val="20"/>
              </w:rPr>
              <w:t xml:space="preserve">seminarski radovi 30%, </w:t>
            </w:r>
            <w:r w:rsidRPr="00261187">
              <w:rPr>
                <w:rFonts w:ascii="Arial" w:hAnsi="Arial" w:cs="Arial"/>
                <w:color w:val="FF0000"/>
                <w:sz w:val="20"/>
                <w:szCs w:val="20"/>
              </w:rPr>
              <w:t xml:space="preserve">dok studije slučaja nose </w:t>
            </w:r>
            <w:r w:rsidR="00261187" w:rsidRPr="00261187">
              <w:rPr>
                <w:rFonts w:ascii="Arial" w:hAnsi="Arial" w:cs="Arial"/>
                <w:color w:val="FF0000"/>
                <w:sz w:val="20"/>
                <w:szCs w:val="20"/>
              </w:rPr>
              <w:t>1</w:t>
            </w:r>
            <w:r w:rsidRPr="00261187">
              <w:rPr>
                <w:rFonts w:ascii="Arial" w:hAnsi="Arial" w:cs="Arial"/>
                <w:color w:val="FF0000"/>
                <w:sz w:val="20"/>
                <w:szCs w:val="20"/>
              </w:rPr>
              <w:t>0% od ukupne ocjene.</w:t>
            </w:r>
          </w:p>
          <w:p w:rsidR="00CC504B" w:rsidRPr="00261187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C504B" w:rsidRPr="00261187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61187">
              <w:rPr>
                <w:rFonts w:ascii="Arial" w:hAnsi="Arial" w:cs="Arial"/>
                <w:color w:val="FF0000"/>
                <w:sz w:val="20"/>
                <w:szCs w:val="20"/>
              </w:rPr>
              <w:t xml:space="preserve">Bodovni pragovi i odgovarajuće ocjene </w:t>
            </w:r>
            <w:r w:rsidR="00CF33A2">
              <w:rPr>
                <w:rFonts w:ascii="Arial" w:hAnsi="Arial" w:cs="Arial"/>
                <w:color w:val="FF0000"/>
                <w:sz w:val="20"/>
                <w:szCs w:val="20"/>
              </w:rPr>
              <w:t>kolegija</w:t>
            </w:r>
            <w:r w:rsidRPr="00261187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43509D" w:rsidRPr="0043509D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3509D">
              <w:rPr>
                <w:rFonts w:ascii="Arial" w:hAnsi="Arial" w:cs="Arial"/>
                <w:color w:val="FF0000"/>
                <w:sz w:val="20"/>
                <w:szCs w:val="20"/>
              </w:rPr>
              <w:t>0-50      nedovoljan (1)</w:t>
            </w:r>
          </w:p>
          <w:p w:rsidR="0043509D" w:rsidRPr="0043509D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3509D">
              <w:rPr>
                <w:rFonts w:ascii="Arial" w:hAnsi="Arial" w:cs="Arial"/>
                <w:color w:val="FF0000"/>
                <w:sz w:val="20"/>
                <w:szCs w:val="20"/>
              </w:rPr>
              <w:t>51-65    dovoljan (2)</w:t>
            </w:r>
          </w:p>
          <w:p w:rsidR="0043509D" w:rsidRPr="0043509D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3509D">
              <w:rPr>
                <w:rFonts w:ascii="Arial" w:hAnsi="Arial" w:cs="Arial"/>
                <w:color w:val="FF0000"/>
                <w:sz w:val="20"/>
                <w:szCs w:val="20"/>
              </w:rPr>
              <w:t>66-75    dobar (3)</w:t>
            </w:r>
          </w:p>
          <w:p w:rsidR="0043509D" w:rsidRPr="0043509D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3509D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76-85    vrlo dobar (4)</w:t>
            </w:r>
          </w:p>
          <w:p w:rsidR="00CC504B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3509D">
              <w:rPr>
                <w:rFonts w:ascii="Arial" w:hAnsi="Arial" w:cs="Arial"/>
                <w:color w:val="FF0000"/>
                <w:sz w:val="20"/>
                <w:szCs w:val="20"/>
              </w:rPr>
              <w:t>86-100  izvrstan (5)</w:t>
            </w:r>
          </w:p>
          <w:p w:rsidR="0043509D" w:rsidRPr="00261187" w:rsidRDefault="0043509D" w:rsidP="004350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C504B" w:rsidRPr="00261187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61187">
              <w:rPr>
                <w:rFonts w:ascii="Arial" w:hAnsi="Arial" w:cs="Arial"/>
                <w:color w:val="FF0000"/>
                <w:sz w:val="20"/>
                <w:szCs w:val="20"/>
              </w:rPr>
              <w:t>Ispit se smatra položenim ako je student:</w:t>
            </w:r>
          </w:p>
          <w:p w:rsidR="00CC504B" w:rsidRPr="00261187" w:rsidRDefault="00261187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61187">
              <w:rPr>
                <w:rFonts w:ascii="Arial" w:hAnsi="Arial" w:cs="Arial"/>
                <w:color w:val="FF0000"/>
                <w:sz w:val="20"/>
                <w:szCs w:val="20"/>
              </w:rPr>
              <w:t xml:space="preserve">- </w:t>
            </w:r>
            <w:r w:rsidR="00CC504B" w:rsidRPr="00261187">
              <w:rPr>
                <w:rFonts w:ascii="Arial" w:hAnsi="Arial" w:cs="Arial"/>
                <w:color w:val="FF0000"/>
                <w:sz w:val="20"/>
                <w:szCs w:val="20"/>
              </w:rPr>
              <w:t>u prosjeku ostvario prolaznu ocjenu iz pisanih provjera znanja (</w:t>
            </w:r>
            <w:r w:rsidR="0043509D">
              <w:rPr>
                <w:rFonts w:ascii="Arial" w:hAnsi="Arial" w:cs="Arial"/>
                <w:color w:val="FF0000"/>
                <w:sz w:val="20"/>
                <w:szCs w:val="20"/>
              </w:rPr>
              <w:t xml:space="preserve">minimalno 50% iz </w:t>
            </w:r>
            <w:r w:rsidR="004673DA">
              <w:rPr>
                <w:rFonts w:ascii="Arial" w:hAnsi="Arial" w:cs="Arial"/>
                <w:color w:val="FF0000"/>
                <w:sz w:val="20"/>
                <w:szCs w:val="20"/>
              </w:rPr>
              <w:t>oba</w:t>
            </w:r>
            <w:r w:rsidR="0043509D">
              <w:rPr>
                <w:rFonts w:ascii="Arial" w:hAnsi="Arial" w:cs="Arial"/>
                <w:color w:val="FF0000"/>
                <w:sz w:val="20"/>
                <w:szCs w:val="20"/>
              </w:rPr>
              <w:t xml:space="preserve"> kolokvija</w:t>
            </w:r>
            <w:r w:rsidR="004673DA">
              <w:rPr>
                <w:rFonts w:ascii="Arial" w:hAnsi="Arial" w:cs="Arial"/>
                <w:color w:val="FF0000"/>
                <w:sz w:val="20"/>
                <w:szCs w:val="20"/>
              </w:rPr>
              <w:t xml:space="preserve"> ili iz pisanog završnog ispita</w:t>
            </w:r>
            <w:r w:rsidR="0043509D">
              <w:rPr>
                <w:rFonts w:ascii="Arial" w:hAnsi="Arial" w:cs="Arial"/>
                <w:color w:val="FF0000"/>
                <w:sz w:val="20"/>
                <w:szCs w:val="20"/>
              </w:rPr>
              <w:t>),</w:t>
            </w:r>
          </w:p>
          <w:p w:rsidR="00CC504B" w:rsidRPr="00261187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61187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 w:rsidR="00261187" w:rsidRPr="0026118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43509D" w:rsidRPr="00261187">
              <w:rPr>
                <w:rFonts w:ascii="Arial" w:hAnsi="Arial" w:cs="Arial"/>
                <w:color w:val="FF0000"/>
                <w:sz w:val="20"/>
                <w:szCs w:val="20"/>
              </w:rPr>
              <w:t>uspješno napisao i prezentirao seminarski rad</w:t>
            </w:r>
            <w:r w:rsidR="0043509D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</w:p>
          <w:p w:rsidR="00261187" w:rsidRDefault="00261187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61187">
              <w:rPr>
                <w:rFonts w:ascii="Arial" w:hAnsi="Arial" w:cs="Arial"/>
                <w:color w:val="FF0000"/>
                <w:sz w:val="20"/>
                <w:szCs w:val="20"/>
              </w:rPr>
              <w:t xml:space="preserve">- </w:t>
            </w:r>
            <w:r w:rsidR="0043509D" w:rsidRPr="00261187">
              <w:rPr>
                <w:rFonts w:ascii="Arial" w:hAnsi="Arial" w:cs="Arial"/>
                <w:color w:val="FF0000"/>
                <w:sz w:val="20"/>
                <w:szCs w:val="20"/>
              </w:rPr>
              <w:t>aktivno sudje</w:t>
            </w:r>
            <w:r w:rsidR="0043509D">
              <w:rPr>
                <w:rFonts w:ascii="Arial" w:hAnsi="Arial" w:cs="Arial"/>
                <w:color w:val="FF0000"/>
                <w:sz w:val="20"/>
                <w:szCs w:val="20"/>
              </w:rPr>
              <w:t>l</w:t>
            </w:r>
            <w:r w:rsidR="0043509D" w:rsidRPr="00261187">
              <w:rPr>
                <w:rFonts w:ascii="Arial" w:hAnsi="Arial" w:cs="Arial"/>
                <w:color w:val="FF0000"/>
                <w:sz w:val="20"/>
                <w:szCs w:val="20"/>
              </w:rPr>
              <w:t>ovao u studijama slučaja</w:t>
            </w:r>
            <w:r w:rsidR="0043509D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261187" w:rsidRDefault="00261187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4673DA" w:rsidRPr="004673DA" w:rsidRDefault="004673DA" w:rsidP="004673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673DA">
              <w:rPr>
                <w:rFonts w:ascii="Arial" w:hAnsi="Arial" w:cs="Arial"/>
                <w:color w:val="FF0000"/>
                <w:sz w:val="20"/>
                <w:szCs w:val="20"/>
              </w:rPr>
              <w:t>Konačna ocjena se formira kao zbroj:</w:t>
            </w:r>
          </w:p>
          <w:p w:rsidR="004673DA" w:rsidRPr="004673DA" w:rsidRDefault="004673DA" w:rsidP="004673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673DA">
              <w:rPr>
                <w:rFonts w:ascii="Arial" w:hAnsi="Arial" w:cs="Arial"/>
                <w:color w:val="FF0000"/>
                <w:sz w:val="20"/>
                <w:szCs w:val="20"/>
              </w:rPr>
              <w:t>1) ukupno ostvarenih bodova na pisanim provjerama znanja umnožene s ponderom od 0.6,</w:t>
            </w:r>
          </w:p>
          <w:p w:rsidR="004673DA" w:rsidRPr="004673DA" w:rsidRDefault="004673DA" w:rsidP="004673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673DA">
              <w:rPr>
                <w:rFonts w:ascii="Arial" w:hAnsi="Arial" w:cs="Arial"/>
                <w:color w:val="FF0000"/>
                <w:sz w:val="20"/>
                <w:szCs w:val="20"/>
              </w:rPr>
              <w:t xml:space="preserve">2) </w:t>
            </w:r>
            <w:r w:rsidRPr="00261187">
              <w:rPr>
                <w:rFonts w:ascii="Arial" w:hAnsi="Arial" w:cs="Arial"/>
                <w:color w:val="FF0000"/>
                <w:sz w:val="20"/>
                <w:szCs w:val="20"/>
              </w:rPr>
              <w:t xml:space="preserve">ocjene ostvarene seminarskim radom umnožene s ponderom od 0.3  </w:t>
            </w:r>
            <w:r w:rsidRPr="004673DA">
              <w:rPr>
                <w:rFonts w:ascii="Arial" w:hAnsi="Arial" w:cs="Arial"/>
                <w:color w:val="FF0000"/>
                <w:sz w:val="20"/>
                <w:szCs w:val="20"/>
              </w:rPr>
              <w:t>te</w:t>
            </w:r>
          </w:p>
          <w:p w:rsidR="004673DA" w:rsidRDefault="004673DA" w:rsidP="004673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673DA">
              <w:rPr>
                <w:rFonts w:ascii="Arial" w:hAnsi="Arial" w:cs="Arial"/>
                <w:color w:val="FF0000"/>
                <w:sz w:val="20"/>
                <w:szCs w:val="20"/>
              </w:rPr>
              <w:t>3) ukupno ostvarenih bodova iz studija slučaja umnoženih s ponderom 0.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1.</w:t>
            </w:r>
          </w:p>
          <w:p w:rsidR="004673DA" w:rsidRDefault="004673DA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C504B" w:rsidRPr="00E31856" w:rsidRDefault="00CC504B" w:rsidP="00CC504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C504B">
              <w:rPr>
                <w:rFonts w:ascii="Arial" w:hAnsi="Arial" w:cs="Arial"/>
                <w:sz w:val="20"/>
                <w:szCs w:val="20"/>
              </w:rPr>
              <w:t>Ukoliko student ne zadovolji na pisanim provjerama dužan je polagati završni ispit. Završni ispit može biti organiziran na pisani i/ili usmeni način.</w:t>
            </w:r>
          </w:p>
        </w:tc>
      </w:tr>
      <w:tr w:rsidR="00F60ED6" w:rsidRPr="00E31856" w:rsidTr="00B230B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60ED6" w:rsidRPr="00E31856" w:rsidRDefault="00F60ED6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81AC2" w:rsidRPr="00E31856" w:rsidTr="00B230B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AC2" w:rsidRPr="00E31856" w:rsidRDefault="00381AC2" w:rsidP="00F60E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BF1008" w:rsidRDefault="00381AC2" w:rsidP="00B230B5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381AC2"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t>Autorizirana predavanja i nastavni materijali na Moodle stranicama kolegija (skripta i power point)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316710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6710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  <w:p w:rsidR="00381AC2" w:rsidRPr="00316710" w:rsidRDefault="00381AC2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AC2" w:rsidRPr="00316710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16710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381AC2" w:rsidRPr="00E31856" w:rsidTr="00B230B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AC2" w:rsidRPr="00E31856" w:rsidRDefault="00381AC2" w:rsidP="00F60E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752DAA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FF0000"/>
                <w:sz w:val="18"/>
                <w:szCs w:val="18"/>
              </w:rPr>
            </w:pPr>
            <w:r w:rsidRPr="00752DAA"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t>Terra, C. (2015.): „Principles of International Finance and Open Economy Macroeconomics”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t xml:space="preserve"> Academic Press, Elsevier, UK</w:t>
            </w:r>
          </w:p>
          <w:p w:rsidR="00381AC2" w:rsidRPr="00BF1008" w:rsidRDefault="00381AC2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E31856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AC2" w:rsidRPr="00E31856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1AC2" w:rsidRPr="00E31856" w:rsidTr="00B230B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AC2" w:rsidRPr="00E31856" w:rsidRDefault="00381AC2" w:rsidP="00F60E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E31856" w:rsidRDefault="00381AC2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E31856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AC2" w:rsidRPr="00E31856" w:rsidRDefault="00381AC2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1AC2" w:rsidRPr="00E31856" w:rsidTr="00B230B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AC2" w:rsidRPr="00E31856" w:rsidRDefault="00381AC2" w:rsidP="00F60ED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E31856" w:rsidRDefault="00772AAC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AC2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1AC2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AC2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AC2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AC2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AC2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81AC2" w:rsidRPr="00E31856" w:rsidRDefault="00772AAC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AC2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1AC2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AC2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AC2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AC2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AC2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AC2" w:rsidRPr="00E31856" w:rsidRDefault="00772AAC" w:rsidP="00B230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AC2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81AC2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AC2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AC2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AC2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81AC2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81AC2" w:rsidRPr="00E31856" w:rsidTr="00B230B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AC2" w:rsidRPr="00E31856" w:rsidRDefault="00381AC2" w:rsidP="00B230B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381AC2" w:rsidRPr="00E31856" w:rsidRDefault="00381AC2" w:rsidP="00B230B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AC2" w:rsidRPr="007F27FF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381AC2" w:rsidRPr="007F27FF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</w:p>
          <w:p w:rsidR="00381AC2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31671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 xml:space="preserve">Lovrinović, I.: Globalne </w:t>
            </w:r>
            <w:r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financije, Accent, 2015., Zagreb</w:t>
            </w:r>
          </w:p>
          <w:p w:rsidR="00381AC2" w:rsidRPr="00316710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316710">
              <w:rPr>
                <w:rFonts w:ascii="Arial" w:hAnsi="Arial" w:cs="Arial"/>
                <w:noProof/>
                <w:sz w:val="20"/>
                <w:szCs w:val="20"/>
              </w:rPr>
              <w:t>Copeland, L.: Exchange Rates and International Finance, Prentice Hall, 2008.</w:t>
            </w:r>
          </w:p>
          <w:p w:rsidR="00381AC2" w:rsidRPr="00316710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316710">
              <w:rPr>
                <w:rFonts w:ascii="Arial" w:hAnsi="Arial" w:cs="Arial"/>
                <w:noProof/>
                <w:sz w:val="20"/>
                <w:szCs w:val="20"/>
              </w:rPr>
              <w:t>Krugman, P.R.. Obstfeld, M.: Međunarodna ekonomija, VII izdanje, MATE 2009.</w:t>
            </w:r>
          </w:p>
          <w:p w:rsidR="00381AC2" w:rsidRPr="00316710" w:rsidRDefault="00381AC2" w:rsidP="00261187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316710">
              <w:rPr>
                <w:rFonts w:ascii="Arial" w:hAnsi="Arial" w:cs="Arial"/>
                <w:noProof/>
                <w:sz w:val="20"/>
                <w:szCs w:val="20"/>
              </w:rPr>
              <w:t>Miles, D., Scott, A., Breedon, F.: Macroeconomics – Understanding the Global Economy, John Wiley and Sons LtD 2012.</w:t>
            </w:r>
          </w:p>
          <w:p w:rsidR="00381AC2" w:rsidRDefault="00381AC2" w:rsidP="0026118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381AC2" w:rsidRPr="007F27FF" w:rsidRDefault="00381AC2" w:rsidP="00261187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 xml:space="preserve">Članci: </w:t>
            </w:r>
          </w:p>
          <w:p w:rsidR="00381AC2" w:rsidRPr="007F27FF" w:rsidRDefault="00381AC2" w:rsidP="00261187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</w:p>
          <w:p w:rsidR="00381AC2" w:rsidRDefault="00381AC2" w:rsidP="00261187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Pečarić, M. i Visković, J.: 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The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effects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prudential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policy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measures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on financial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stability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in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post-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transition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countries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Proceedings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Rijeka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Faculty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Economics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Journal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Economics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and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Business</w:t>
            </w:r>
            <w:proofErr w:type="spellEnd"/>
            <w:r w:rsidRPr="0026118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, Vol. 31. No. 1. lipanj 2013., ISSN 1331-8004 p. 9.-34.</w:t>
            </w:r>
          </w:p>
          <w:p w:rsidR="00381AC2" w:rsidRPr="007F27FF" w:rsidRDefault="00381AC2" w:rsidP="00261187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</w:p>
          <w:p w:rsidR="00381AC2" w:rsidRPr="007F27FF" w:rsidRDefault="00381AC2" w:rsidP="00261187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381AC2" w:rsidRPr="00316710" w:rsidRDefault="00381AC2" w:rsidP="00261187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31671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Financial statistics</w:t>
            </w:r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(www.imf.org)</w:t>
            </w:r>
          </w:p>
          <w:p w:rsidR="00381AC2" w:rsidRDefault="00381AC2" w:rsidP="00261187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31671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World Economic Outlook</w:t>
            </w:r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(</w:t>
            </w:r>
            <w:hyperlink r:id="rId7" w:history="1">
              <w:r w:rsidRPr="00DE6382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www.imf.org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)</w:t>
            </w:r>
          </w:p>
          <w:p w:rsidR="00381AC2" w:rsidRDefault="00381AC2" w:rsidP="00F539FE">
            <w:pPr>
              <w:spacing w:after="0" w:line="240" w:lineRule="auto"/>
              <w:rPr>
                <w:rFonts w:ascii="Arial" w:hAnsi="Arial" w:cs="Arial"/>
                <w:noProof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Eurostat</w:t>
            </w:r>
            <w:r>
              <w:t xml:space="preserve"> (</w:t>
            </w:r>
            <w:hyperlink r:id="rId8" w:history="1">
              <w:r w:rsidRPr="00DE6382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http://ec.europa.eu/eurostat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)</w:t>
            </w:r>
          </w:p>
          <w:p w:rsidR="00F539FE" w:rsidRDefault="00F539FE" w:rsidP="00F539FE">
            <w:pPr>
              <w:spacing w:after="0" w:line="240" w:lineRule="auto"/>
              <w:rPr>
                <w:rFonts w:ascii="Arial" w:hAnsi="Arial" w:cs="Arial"/>
                <w:noProof/>
                <w:color w:val="FF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noProof/>
                <w:color w:val="FF0000"/>
                <w:sz w:val="18"/>
                <w:szCs w:val="18"/>
                <w:lang w:eastAsia="hr-HR"/>
              </w:rPr>
              <w:t>World Bank (</w:t>
            </w:r>
            <w:hyperlink r:id="rId9" w:history="1">
              <w:r w:rsidRPr="00114914">
                <w:rPr>
                  <w:rStyle w:val="Hyperlink"/>
                  <w:rFonts w:ascii="Arial" w:hAnsi="Arial" w:cs="Arial"/>
                  <w:noProof/>
                  <w:sz w:val="18"/>
                  <w:szCs w:val="18"/>
                  <w:lang w:eastAsia="hr-HR"/>
                </w:rPr>
                <w:t>https://data.worldbank.org</w:t>
              </w:r>
            </w:hyperlink>
            <w:r>
              <w:rPr>
                <w:rFonts w:ascii="Arial" w:hAnsi="Arial" w:cs="Arial"/>
                <w:noProof/>
                <w:color w:val="FF0000"/>
                <w:sz w:val="18"/>
                <w:szCs w:val="18"/>
                <w:lang w:eastAsia="hr-HR"/>
              </w:rPr>
              <w:t xml:space="preserve"> )</w:t>
            </w:r>
          </w:p>
          <w:p w:rsidR="00F539FE" w:rsidRPr="00953C17" w:rsidRDefault="00772AAC" w:rsidP="00F539FE">
            <w:pPr>
              <w:spacing w:after="0" w:line="240" w:lineRule="auto"/>
              <w:rPr>
                <w:rFonts w:ascii="Arial" w:hAnsi="Arial" w:cs="Arial"/>
                <w:noProof/>
                <w:color w:val="FF0000"/>
                <w:sz w:val="18"/>
                <w:szCs w:val="18"/>
                <w:lang w:eastAsia="hr-HR"/>
              </w:rPr>
            </w:pPr>
            <w:hyperlink r:id="rId10" w:history="1">
              <w:r w:rsidR="00F539FE" w:rsidRPr="00114914">
                <w:rPr>
                  <w:rStyle w:val="Hyperlink"/>
                  <w:rFonts w:ascii="Arial" w:hAnsi="Arial" w:cs="Arial"/>
                  <w:noProof/>
                  <w:sz w:val="18"/>
                  <w:szCs w:val="18"/>
                  <w:lang w:eastAsia="hr-HR"/>
                </w:rPr>
                <w:t>http://web.pdx.edu/~ito/Chinn-Ito_website.htm</w:t>
              </w:r>
            </w:hyperlink>
            <w:r w:rsidR="00F539FE">
              <w:rPr>
                <w:rFonts w:ascii="Arial" w:hAnsi="Arial" w:cs="Arial"/>
                <w:noProof/>
                <w:color w:val="FF0000"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381AC2" w:rsidRPr="00E31856" w:rsidTr="00B230B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AC2" w:rsidRPr="00E31856" w:rsidRDefault="00381AC2" w:rsidP="00B230B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AC2" w:rsidRPr="00E31856" w:rsidRDefault="00381AC2" w:rsidP="00F60ED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381AC2" w:rsidRPr="00E31856" w:rsidRDefault="00381AC2" w:rsidP="00F60ED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381AC2" w:rsidRPr="00E31856" w:rsidRDefault="00381AC2" w:rsidP="00F60ED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Analiza uspješnosti studiranja po svim predmetima studija (prodekan za </w:t>
            </w: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nastavu)</w:t>
            </w:r>
          </w:p>
          <w:p w:rsidR="00381AC2" w:rsidRPr="00E31856" w:rsidRDefault="00381AC2" w:rsidP="00F60ED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81AC2" w:rsidRPr="00E31856" w:rsidRDefault="00381AC2" w:rsidP="00F60ED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381AC2" w:rsidRPr="00E31856" w:rsidTr="00B230B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1AC2" w:rsidRPr="00E31856" w:rsidRDefault="00381AC2" w:rsidP="00B230B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1AC2" w:rsidRPr="00E31856" w:rsidRDefault="00381AC2" w:rsidP="00B230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2B7B" w:rsidRDefault="00392B7B"/>
    <w:p w:rsidR="0043509D" w:rsidRDefault="0043509D"/>
    <w:sectPr w:rsidR="0043509D" w:rsidSect="006272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7D2" w:rsidRDefault="00FA27D2" w:rsidP="00BF1008">
      <w:pPr>
        <w:spacing w:after="0" w:line="240" w:lineRule="auto"/>
      </w:pPr>
      <w:r>
        <w:separator/>
      </w:r>
    </w:p>
  </w:endnote>
  <w:endnote w:type="continuationSeparator" w:id="0">
    <w:p w:rsidR="00FA27D2" w:rsidRDefault="00FA27D2" w:rsidP="00BF1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7D2" w:rsidRDefault="00FA27D2" w:rsidP="00BF1008">
      <w:pPr>
        <w:spacing w:after="0" w:line="240" w:lineRule="auto"/>
      </w:pPr>
      <w:r>
        <w:separator/>
      </w:r>
    </w:p>
  </w:footnote>
  <w:footnote w:type="continuationSeparator" w:id="0">
    <w:p w:rsidR="00FA27D2" w:rsidRDefault="00FA27D2" w:rsidP="00BF1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76C8C"/>
    <w:multiLevelType w:val="hybridMultilevel"/>
    <w:tmpl w:val="8AC087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ED6"/>
    <w:rsid w:val="00011E5A"/>
    <w:rsid w:val="000423BA"/>
    <w:rsid w:val="000E271A"/>
    <w:rsid w:val="001839AF"/>
    <w:rsid w:val="001A46E2"/>
    <w:rsid w:val="00261187"/>
    <w:rsid w:val="00274559"/>
    <w:rsid w:val="00307A47"/>
    <w:rsid w:val="00381AC2"/>
    <w:rsid w:val="00392B7B"/>
    <w:rsid w:val="003C439B"/>
    <w:rsid w:val="0043509D"/>
    <w:rsid w:val="004673DA"/>
    <w:rsid w:val="0047644E"/>
    <w:rsid w:val="00503635"/>
    <w:rsid w:val="00561030"/>
    <w:rsid w:val="0062729D"/>
    <w:rsid w:val="006723B1"/>
    <w:rsid w:val="00676E54"/>
    <w:rsid w:val="00752DAA"/>
    <w:rsid w:val="00772AAC"/>
    <w:rsid w:val="00774989"/>
    <w:rsid w:val="007D0E21"/>
    <w:rsid w:val="008033A2"/>
    <w:rsid w:val="0082757A"/>
    <w:rsid w:val="008951A8"/>
    <w:rsid w:val="008C5681"/>
    <w:rsid w:val="00953C17"/>
    <w:rsid w:val="009A2E4E"/>
    <w:rsid w:val="00A5058A"/>
    <w:rsid w:val="00A731B8"/>
    <w:rsid w:val="00AB34D9"/>
    <w:rsid w:val="00AB79A4"/>
    <w:rsid w:val="00AC583D"/>
    <w:rsid w:val="00B230B5"/>
    <w:rsid w:val="00B24633"/>
    <w:rsid w:val="00B865DF"/>
    <w:rsid w:val="00BA6DC1"/>
    <w:rsid w:val="00BF1008"/>
    <w:rsid w:val="00C92BB0"/>
    <w:rsid w:val="00C97CF3"/>
    <w:rsid w:val="00CC504B"/>
    <w:rsid w:val="00CC7F0B"/>
    <w:rsid w:val="00CF33A2"/>
    <w:rsid w:val="00D2718B"/>
    <w:rsid w:val="00DC31C2"/>
    <w:rsid w:val="00E044BB"/>
    <w:rsid w:val="00E630F7"/>
    <w:rsid w:val="00EF1967"/>
    <w:rsid w:val="00F21C26"/>
    <w:rsid w:val="00F539FE"/>
    <w:rsid w:val="00F60ED6"/>
    <w:rsid w:val="00F80670"/>
    <w:rsid w:val="00F965A1"/>
    <w:rsid w:val="00F97E27"/>
    <w:rsid w:val="00FA27D2"/>
    <w:rsid w:val="00FA43F3"/>
    <w:rsid w:val="00FC3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ED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ED6"/>
    <w:pPr>
      <w:ind w:left="720"/>
      <w:contextualSpacing/>
    </w:pPr>
  </w:style>
  <w:style w:type="paragraph" w:customStyle="1" w:styleId="FieldText">
    <w:name w:val="Field Text"/>
    <w:basedOn w:val="Normal"/>
    <w:rsid w:val="00F60ED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F60ED6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BF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100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BF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1008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2611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ED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ED6"/>
    <w:pPr>
      <w:ind w:left="720"/>
      <w:contextualSpacing/>
    </w:pPr>
  </w:style>
  <w:style w:type="paragraph" w:customStyle="1" w:styleId="FieldText">
    <w:name w:val="Field Text"/>
    <w:basedOn w:val="Normal"/>
    <w:rsid w:val="00F60ED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F60ED6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BF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100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BF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1008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2611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sta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mf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eb.pdx.edu/~ito/Chinn-Ito_website.htm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data.worldbank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 Visković</dc:creator>
  <cp:lastModifiedBy>sumic</cp:lastModifiedBy>
  <cp:revision>3</cp:revision>
  <cp:lastPrinted>2017-07-06T13:50:00Z</cp:lastPrinted>
  <dcterms:created xsi:type="dcterms:W3CDTF">2018-06-07T09:35:00Z</dcterms:created>
  <dcterms:modified xsi:type="dcterms:W3CDTF">2018-06-07T10:24:00Z</dcterms:modified>
</cp:coreProperties>
</file>